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4AA56">
      <w:pPr>
        <w:spacing w:line="360" w:lineRule="auto"/>
        <w:jc w:val="left"/>
        <w:outlineLvl w:val="0"/>
        <w:rPr>
          <w:rFonts w:hint="eastAsia" w:ascii="黑体" w:hAnsi="华文细黑" w:eastAsia="黑体"/>
          <w:sz w:val="24"/>
        </w:rPr>
      </w:pPr>
      <w:r>
        <w:rPr>
          <w:rFonts w:hint="eastAsia" w:ascii="黑体" w:hAnsi="华文细黑" w:eastAsia="黑体"/>
          <w:sz w:val="24"/>
        </w:rPr>
        <w:t>附件1</w:t>
      </w:r>
    </w:p>
    <w:p w14:paraId="1EA38435">
      <w:pPr>
        <w:spacing w:before="156" w:beforeLines="50" w:line="360" w:lineRule="auto"/>
        <w:jc w:val="center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中国造船工程学会标准制修订项目立项申请书</w:t>
      </w:r>
    </w:p>
    <w:tbl>
      <w:tblPr>
        <w:tblStyle w:val="5"/>
        <w:tblW w:w="92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71"/>
        <w:gridCol w:w="850"/>
        <w:gridCol w:w="851"/>
        <w:gridCol w:w="3383"/>
      </w:tblGrid>
      <w:tr w14:paraId="0B61C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980" w:type="dxa"/>
            <w:vAlign w:val="center"/>
          </w:tcPr>
          <w:p w14:paraId="5B19D51E"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项目名称（中文）</w:t>
            </w:r>
          </w:p>
        </w:tc>
        <w:tc>
          <w:tcPr>
            <w:tcW w:w="7255" w:type="dxa"/>
            <w:gridSpan w:val="4"/>
            <w:vAlign w:val="center"/>
          </w:tcPr>
          <w:p w14:paraId="06620926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  <w:lang w:val="en-US"/>
              </w:rPr>
              <w:t>船用电池充换电变流装置技术</w:t>
            </w:r>
            <w:r>
              <w:rPr>
                <w:rFonts w:hint="eastAsia"/>
                <w:color w:val="auto"/>
                <w:sz w:val="24"/>
                <w:lang w:val="en-US"/>
              </w:rPr>
              <w:t>要求</w:t>
            </w:r>
          </w:p>
        </w:tc>
      </w:tr>
      <w:tr w14:paraId="1FC44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980" w:type="dxa"/>
            <w:vAlign w:val="center"/>
          </w:tcPr>
          <w:p w14:paraId="640EBF86"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项目名称（英文）</w:t>
            </w:r>
          </w:p>
        </w:tc>
        <w:tc>
          <w:tcPr>
            <w:tcW w:w="7255" w:type="dxa"/>
            <w:gridSpan w:val="4"/>
            <w:vAlign w:val="center"/>
          </w:tcPr>
          <w:p w14:paraId="69216EAE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Technical Requirements for Marine Battery Charging and Swapping Power Conversion Systems</w:t>
            </w:r>
          </w:p>
        </w:tc>
      </w:tr>
      <w:tr w14:paraId="4EED0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80" w:type="dxa"/>
            <w:vAlign w:val="center"/>
          </w:tcPr>
          <w:p w14:paraId="72A66DEF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制修订</w:t>
            </w:r>
          </w:p>
        </w:tc>
        <w:tc>
          <w:tcPr>
            <w:tcW w:w="2171" w:type="dxa"/>
            <w:vAlign w:val="center"/>
          </w:tcPr>
          <w:p w14:paraId="3C3F0EE5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hAnsiTheme="minorEastAsia"/>
                <w:color w:val="auto"/>
                <w:sz w:val="24"/>
              </w:rPr>
              <w:t>☑制定   □修订</w:t>
            </w:r>
          </w:p>
        </w:tc>
        <w:tc>
          <w:tcPr>
            <w:tcW w:w="1701" w:type="dxa"/>
            <w:gridSpan w:val="2"/>
            <w:vAlign w:val="center"/>
          </w:tcPr>
          <w:p w14:paraId="2535C8D9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被修订标准号</w:t>
            </w:r>
          </w:p>
        </w:tc>
        <w:tc>
          <w:tcPr>
            <w:tcW w:w="3383" w:type="dxa"/>
            <w:vAlign w:val="center"/>
          </w:tcPr>
          <w:p w14:paraId="2E24AAB0"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</w:t>
            </w:r>
          </w:p>
        </w:tc>
      </w:tr>
      <w:tr w14:paraId="14769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80" w:type="dxa"/>
            <w:vAlign w:val="center"/>
          </w:tcPr>
          <w:p w14:paraId="45EB69F2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被修订标准名称</w:t>
            </w:r>
          </w:p>
        </w:tc>
        <w:tc>
          <w:tcPr>
            <w:tcW w:w="2171" w:type="dxa"/>
            <w:vAlign w:val="center"/>
          </w:tcPr>
          <w:p w14:paraId="36900E5E">
            <w:pPr>
              <w:rPr>
                <w:rFonts w:hint="eastAsia" w:hAnsiTheme="minorEastAsia"/>
                <w:i/>
                <w:iCs/>
                <w:color w:val="auto"/>
                <w:sz w:val="24"/>
                <w:highlight w:val="yello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DE55829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编制周期</w:t>
            </w:r>
          </w:p>
        </w:tc>
        <w:tc>
          <w:tcPr>
            <w:tcW w:w="3383" w:type="dxa"/>
            <w:vAlign w:val="center"/>
          </w:tcPr>
          <w:p w14:paraId="609DAABA">
            <w:pPr>
              <w:rPr>
                <w:rFonts w:hint="eastAsia" w:hAnsiTheme="minorEastAsia"/>
                <w:color w:val="auto"/>
                <w:sz w:val="24"/>
              </w:rPr>
            </w:pPr>
            <w:r>
              <w:rPr>
                <w:rFonts w:hint="eastAsia" w:hAnsiTheme="minorEastAsia"/>
                <w:color w:val="auto"/>
                <w:sz w:val="24"/>
              </w:rPr>
              <w:t xml:space="preserve">☑12个月  □18个月   </w:t>
            </w:r>
          </w:p>
          <w:p w14:paraId="230A6A1D">
            <w:pPr>
              <w:rPr>
                <w:color w:val="auto"/>
                <w:sz w:val="24"/>
              </w:rPr>
            </w:pPr>
            <w:r>
              <w:rPr>
                <w:rFonts w:hint="eastAsia" w:hAnsiTheme="minorEastAsia"/>
                <w:color w:val="auto"/>
                <w:sz w:val="24"/>
              </w:rPr>
              <w:t>□其他</w:t>
            </w:r>
            <w:r>
              <w:rPr>
                <w:rFonts w:hint="eastAsia" w:hAnsiTheme="minorEastAsia"/>
                <w:color w:val="auto"/>
                <w:sz w:val="24"/>
                <w:u w:val="single"/>
              </w:rPr>
              <w:t xml:space="preserve">         </w:t>
            </w:r>
          </w:p>
        </w:tc>
      </w:tr>
      <w:tr w14:paraId="312AB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980" w:type="dxa"/>
            <w:vAlign w:val="center"/>
          </w:tcPr>
          <w:p w14:paraId="5339963E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起草单位</w:t>
            </w:r>
          </w:p>
          <w:p w14:paraId="1E6BCD3B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（不少于3家）</w:t>
            </w:r>
          </w:p>
        </w:tc>
        <w:tc>
          <w:tcPr>
            <w:tcW w:w="7255" w:type="dxa"/>
            <w:gridSpan w:val="4"/>
            <w:vAlign w:val="center"/>
          </w:tcPr>
          <w:p w14:paraId="3796556D">
            <w:pPr>
              <w:jc w:val="center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澄瑞电力科技（上海）股份公司、武汉理工大学</w:t>
            </w:r>
          </w:p>
        </w:tc>
      </w:tr>
      <w:tr w14:paraId="5B633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980" w:type="dxa"/>
            <w:vAlign w:val="center"/>
          </w:tcPr>
          <w:p w14:paraId="0F9F337D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2171" w:type="dxa"/>
            <w:vAlign w:val="center"/>
          </w:tcPr>
          <w:p w14:paraId="1FCAA469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胡金杭</w:t>
            </w:r>
          </w:p>
        </w:tc>
        <w:tc>
          <w:tcPr>
            <w:tcW w:w="850" w:type="dxa"/>
            <w:vAlign w:val="center"/>
          </w:tcPr>
          <w:p w14:paraId="15CE748E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地址</w:t>
            </w:r>
          </w:p>
        </w:tc>
        <w:tc>
          <w:tcPr>
            <w:tcW w:w="4234" w:type="dxa"/>
            <w:gridSpan w:val="2"/>
            <w:vAlign w:val="center"/>
          </w:tcPr>
          <w:p w14:paraId="2067828F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江苏省南京市江宁区胜太路99号3号楼</w:t>
            </w:r>
          </w:p>
        </w:tc>
      </w:tr>
      <w:tr w14:paraId="460EC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980" w:type="dxa"/>
            <w:vAlign w:val="center"/>
          </w:tcPr>
          <w:p w14:paraId="4685CB94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电话</w:t>
            </w:r>
          </w:p>
        </w:tc>
        <w:tc>
          <w:tcPr>
            <w:tcW w:w="2171" w:type="dxa"/>
            <w:vAlign w:val="center"/>
          </w:tcPr>
          <w:p w14:paraId="41C66654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13645198298</w:t>
            </w:r>
          </w:p>
        </w:tc>
        <w:tc>
          <w:tcPr>
            <w:tcW w:w="850" w:type="dxa"/>
            <w:vAlign w:val="center"/>
          </w:tcPr>
          <w:p w14:paraId="28BF3DB5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邮箱</w:t>
            </w:r>
          </w:p>
        </w:tc>
        <w:tc>
          <w:tcPr>
            <w:tcW w:w="4234" w:type="dxa"/>
            <w:gridSpan w:val="2"/>
            <w:vAlign w:val="center"/>
          </w:tcPr>
          <w:p w14:paraId="7CAC78E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hu.jinhang@chengrui-energy.com</w:t>
            </w:r>
          </w:p>
        </w:tc>
      </w:tr>
      <w:tr w14:paraId="5D1DC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980" w:type="dxa"/>
            <w:vAlign w:val="center"/>
          </w:tcPr>
          <w:p w14:paraId="0DDBB48F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技术与市场</w:t>
            </w:r>
          </w:p>
          <w:p w14:paraId="6D2E8F34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发展背景</w:t>
            </w:r>
          </w:p>
        </w:tc>
        <w:tc>
          <w:tcPr>
            <w:tcW w:w="7255" w:type="dxa"/>
            <w:gridSpan w:val="4"/>
            <w:vAlign w:val="center"/>
          </w:tcPr>
          <w:p w14:paraId="0ABD39F7">
            <w:pPr>
              <w:numPr>
                <w:ilvl w:val="0"/>
                <w:numId w:val="0"/>
              </w:numPr>
              <w:ind w:firstLine="480" w:firstLineChars="200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船用电池充换电变流装置作为电动船舶能源系统的核心设备，其技术要求的制定与市场发展背景紧密关联。</w:t>
            </w:r>
          </w:p>
          <w:p w14:paraId="27617A92">
            <w:pPr>
              <w:numPr>
                <w:ilvl w:val="-1"/>
                <w:numId w:val="0"/>
              </w:numPr>
              <w:ind w:firstLine="480" w:firstLineChars="200"/>
              <w:rPr>
                <w:rFonts w:hint="eastAsia"/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随着电动船舶充电功率需求从百千瓦级（拖轮）向兆瓦级（渡轮、集装箱船）跃升，传统兆瓦级变流器体积大，船舶场景空间受限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，</w:t>
            </w:r>
            <w:r>
              <w:rPr>
                <w:rFonts w:hint="eastAsia"/>
                <w:color w:val="auto"/>
                <w:sz w:val="24"/>
                <w:lang w:val="en-US"/>
              </w:rPr>
              <w:t>传统充换电变流装置的通讯接口与控制架构（单端口单向拓扑）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也</w:t>
            </w:r>
            <w:r>
              <w:rPr>
                <w:rFonts w:hint="eastAsia"/>
                <w:color w:val="auto"/>
                <w:sz w:val="24"/>
                <w:lang w:val="en-US"/>
              </w:rPr>
              <w:t>无法满足需求。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需要突破通讯协议瓶颈，兆瓦级充放电需支持CAN或以太网（带宽≥100Mbps），以实现毫秒级响应。</w:t>
            </w:r>
          </w:p>
          <w:p w14:paraId="31E29835">
            <w:pPr>
              <w:numPr>
                <w:ilvl w:val="-1"/>
                <w:numId w:val="0"/>
              </w:numPr>
              <w:ind w:firstLine="480" w:firstLineChars="200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电池</w:t>
            </w:r>
            <w:r>
              <w:rPr>
                <w:rFonts w:hint="eastAsia"/>
                <w:color w:val="auto"/>
                <w:sz w:val="24"/>
                <w:lang w:val="en-US"/>
              </w:rPr>
              <w:t>动力船舶的充电设备需兼容锂电池、燃料电池、超级电容等多类型能源接入，要求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充换电</w:t>
            </w:r>
            <w:r>
              <w:rPr>
                <w:rFonts w:hint="eastAsia"/>
                <w:color w:val="auto"/>
                <w:sz w:val="24"/>
                <w:lang w:val="en-US"/>
              </w:rPr>
              <w:t>变流装置具备宽电压范围、多端口灵活切换能力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，支持双向DC/DC（电池-超级电容）与DC/AC（燃料电池-电网）并行控制</w:t>
            </w:r>
            <w:r>
              <w:rPr>
                <w:rFonts w:hint="eastAsia"/>
                <w:color w:val="auto"/>
                <w:sz w:val="24"/>
                <w:lang w:val="en-US"/>
              </w:rPr>
              <w:t>。</w:t>
            </w:r>
          </w:p>
          <w:p w14:paraId="5FD5EC00">
            <w:pPr>
              <w:numPr>
                <w:ilvl w:val="0"/>
                <w:numId w:val="0"/>
              </w:numPr>
              <w:ind w:firstLine="480" w:firstLineChars="200"/>
              <w:rPr>
                <w:rFonts w:hint="eastAsia"/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船用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电池充换电</w:t>
            </w:r>
            <w:r>
              <w:rPr>
                <w:rFonts w:hint="eastAsia"/>
                <w:color w:val="auto"/>
                <w:sz w:val="24"/>
                <w:lang w:val="en-US"/>
              </w:rPr>
              <w:t>变流装置在功率等级、环境耐受性、能量双向流动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、</w:t>
            </w:r>
            <w:r>
              <w:rPr>
                <w:rFonts w:hint="eastAsia"/>
                <w:color w:val="auto"/>
                <w:sz w:val="24"/>
                <w:lang w:val="en-US"/>
              </w:rPr>
              <w:t>谐波抑制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以及</w:t>
            </w:r>
            <w:r>
              <w:rPr>
                <w:rFonts w:hint="eastAsia"/>
                <w:color w:val="auto"/>
                <w:sz w:val="24"/>
                <w:lang w:val="en-US"/>
              </w:rPr>
              <w:t>系统复杂度上显著高于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新能源汽车电池充换电变流装置</w:t>
            </w:r>
            <w:r>
              <w:rPr>
                <w:rFonts w:hint="eastAsia"/>
                <w:color w:val="auto"/>
                <w:sz w:val="24"/>
                <w:lang w:val="en-US"/>
              </w:rPr>
              <w:t>，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由于</w:t>
            </w:r>
            <w:r>
              <w:rPr>
                <w:rFonts w:hint="eastAsia"/>
                <w:color w:val="auto"/>
                <w:sz w:val="24"/>
                <w:lang w:val="en-US"/>
              </w:rPr>
              <w:t>但受限于高成本和小众市场，技术迭代速度慢于电动汽车领域。</w:t>
            </w:r>
          </w:p>
        </w:tc>
      </w:tr>
      <w:tr w14:paraId="0E14B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980" w:type="dxa"/>
            <w:vAlign w:val="center"/>
          </w:tcPr>
          <w:p w14:paraId="649675E7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标准必要性和</w:t>
            </w:r>
          </w:p>
          <w:p w14:paraId="7EEC8B01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可行性</w:t>
            </w:r>
          </w:p>
        </w:tc>
        <w:tc>
          <w:tcPr>
            <w:tcW w:w="7255" w:type="dxa"/>
            <w:gridSpan w:val="4"/>
            <w:vAlign w:val="center"/>
          </w:tcPr>
          <w:p w14:paraId="1371F03C">
            <w:pPr>
              <w:ind w:firstLine="480" w:firstLineChars="200"/>
              <w:rPr>
                <w:color w:val="auto"/>
                <w:sz w:val="24"/>
                <w:lang w:val="en-US"/>
              </w:rPr>
            </w:pPr>
            <w:r>
              <w:rPr>
                <w:color w:val="auto"/>
                <w:sz w:val="24"/>
                <w:lang w:val="en-US"/>
              </w:rPr>
              <w:t>船用电池充换电变流装置技术</w:t>
            </w:r>
            <w:r>
              <w:rPr>
                <w:rFonts w:hint="eastAsia"/>
                <w:color w:val="auto"/>
                <w:sz w:val="24"/>
                <w:lang w:val="en-US"/>
              </w:rPr>
              <w:t>要求标准的必要性：</w:t>
            </w:r>
          </w:p>
          <w:p w14:paraId="0B885604">
            <w:pPr>
              <w:ind w:firstLine="480" w:firstLineChars="200"/>
              <w:rPr>
                <w:b w:val="0"/>
                <w:bCs w:val="0"/>
                <w:color w:val="auto"/>
                <w:sz w:val="24"/>
                <w:lang w:val="en-US"/>
              </w:rPr>
            </w:pPr>
            <w:bookmarkStart w:id="0" w:name="_GoBack"/>
            <w:r>
              <w:rPr>
                <w:rFonts w:hint="eastAsia"/>
                <w:b w:val="0"/>
                <w:bCs w:val="0"/>
                <w:color w:val="auto"/>
                <w:sz w:val="24"/>
                <w:lang w:val="en-US"/>
              </w:rPr>
              <w:t>1、统一技术规范，促进产业链协同：确保不同厂商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 w:eastAsia="zh-CN"/>
              </w:rPr>
              <w:t>电池充换电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/>
              </w:rPr>
              <w:t>变流装置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 w:eastAsia="zh-CN"/>
              </w:rPr>
              <w:t>采用的充电与换电接口等技术统一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/>
              </w:rPr>
              <w:t>，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 w:eastAsia="zh-CN"/>
              </w:rPr>
              <w:t>提升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/>
              </w:rPr>
              <w:t>与船载BMS、能源管理系统的实时数据交互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 w:eastAsia="zh-CN"/>
              </w:rPr>
              <w:t>的兼容性。规定绝缘监测、电压保护等要求，明确设计边界，减少重复研发投入，淘汰低质产品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/>
              </w:rPr>
              <w:t>。</w:t>
            </w:r>
          </w:p>
          <w:p w14:paraId="45424564">
            <w:pPr>
              <w:ind w:firstLine="480" w:firstLineChars="200"/>
              <w:rPr>
                <w:rFonts w:hint="eastAsia" w:eastAsia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lang w:val="en-US"/>
              </w:rPr>
              <w:t>2、加速技术创新与产业升级：本标准可推动高效能变流技术、能量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 w:eastAsia="zh-CN"/>
              </w:rPr>
              <w:t>并行控制技术、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/>
              </w:rPr>
              <w:t>智能充放电管理等前沿技术的研发与应用，通过标准化模块设计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 w:eastAsia="zh-CN"/>
              </w:rPr>
              <w:t>，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/>
              </w:rPr>
              <w:t>适配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 w:eastAsia="zh-CN"/>
              </w:rPr>
              <w:t>电池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/>
              </w:rPr>
              <w:t>动力船舶的锂电池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 w:eastAsia="zh-CN"/>
              </w:rPr>
              <w:t>快速充电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/>
              </w:rPr>
              <w:t>场景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 w:eastAsia="zh-CN"/>
              </w:rPr>
              <w:t>，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/>
              </w:rPr>
              <w:t>促进产品升级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 w:eastAsia="zh-CN"/>
              </w:rPr>
              <w:t>，有利于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/>
              </w:rPr>
              <w:t>规模化生产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 w:eastAsia="zh-CN"/>
              </w:rPr>
              <w:t>，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/>
              </w:rPr>
              <w:t>推动成本下降</w:t>
            </w:r>
            <w:r>
              <w:rPr>
                <w:rFonts w:hint="eastAsia"/>
                <w:b w:val="0"/>
                <w:bCs w:val="0"/>
                <w:color w:val="auto"/>
                <w:sz w:val="24"/>
                <w:lang w:val="en-US" w:eastAsia="zh-CN"/>
              </w:rPr>
              <w:t>。</w:t>
            </w:r>
          </w:p>
          <w:p w14:paraId="18717BDC">
            <w:pPr>
              <w:ind w:firstLine="480" w:firstLineChars="200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lang w:val="en-US"/>
              </w:rPr>
              <w:t>3、政策与市场需求驱动：</w:t>
            </w:r>
            <w:bookmarkEnd w:id="0"/>
            <w:r>
              <w:rPr>
                <w:rFonts w:hint="eastAsia"/>
                <w:color w:val="auto"/>
                <w:sz w:val="24"/>
                <w:lang w:val="en-US"/>
              </w:rPr>
              <w:t>为海事部门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提供有效的</w:t>
            </w:r>
            <w:r>
              <w:rPr>
                <w:color w:val="auto"/>
                <w:sz w:val="24"/>
                <w:lang w:val="en-US"/>
              </w:rPr>
              <w:t>船用电池充换电变流装置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技术要求做为</w:t>
            </w:r>
            <w:r>
              <w:rPr>
                <w:rFonts w:hint="eastAsia"/>
                <w:color w:val="auto"/>
                <w:sz w:val="24"/>
                <w:lang w:val="en-US"/>
              </w:rPr>
              <w:t>监管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参考，</w:t>
            </w:r>
            <w:r>
              <w:rPr>
                <w:rFonts w:hint="eastAsia"/>
                <w:color w:val="auto"/>
                <w:sz w:val="24"/>
                <w:lang w:val="en-US"/>
              </w:rPr>
              <w:t>提供可量化的认证基准，加速高污染船舶淘汰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，</w:t>
            </w:r>
            <w:r>
              <w:rPr>
                <w:rFonts w:hint="eastAsia"/>
                <w:color w:val="auto"/>
                <w:sz w:val="24"/>
                <w:lang w:val="en-US"/>
              </w:rPr>
              <w:t>推动行业有序发展。</w:t>
            </w:r>
          </w:p>
          <w:p w14:paraId="3405A9FA">
            <w:pPr>
              <w:ind w:firstLine="480" w:firstLineChars="200"/>
              <w:rPr>
                <w:color w:val="auto"/>
                <w:sz w:val="24"/>
                <w:lang w:val="en-US"/>
              </w:rPr>
            </w:pPr>
            <w:r>
              <w:rPr>
                <w:color w:val="auto"/>
                <w:sz w:val="24"/>
                <w:lang w:val="en-US"/>
              </w:rPr>
              <w:t>船用电池充换电变流装置技术</w:t>
            </w:r>
            <w:r>
              <w:rPr>
                <w:rFonts w:hint="eastAsia"/>
                <w:color w:val="auto"/>
                <w:sz w:val="24"/>
                <w:lang w:val="en-US"/>
              </w:rPr>
              <w:t>要求标准的可行性：</w:t>
            </w:r>
          </w:p>
          <w:p w14:paraId="605CC405">
            <w:pPr>
              <w:numPr>
                <w:ilvl w:val="0"/>
                <w:numId w:val="1"/>
              </w:numPr>
              <w:ind w:firstLine="480" w:firstLineChars="200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国内标准体系逐步完善，中国《纯电池动力船舶技术与检验暂行规则》（2025）及《电动船舶直流充换电系统技术条件》（2023）等文件，已明确充换电系统的布局、设备设施要求，为变流装置标准提供了政策依据。</w:t>
            </w:r>
          </w:p>
          <w:p w14:paraId="26021BD1">
            <w:pPr>
              <w:numPr>
                <w:ilvl w:val="0"/>
                <w:numId w:val="1"/>
              </w:numPr>
              <w:ind w:firstLine="480" w:firstLineChars="200"/>
              <w:rPr>
                <w:color w:val="auto"/>
                <w:sz w:val="24"/>
                <w:lang w:val="en-US"/>
              </w:rPr>
            </w:pPr>
            <w:r>
              <w:rPr>
                <w:color w:val="auto"/>
                <w:sz w:val="24"/>
                <w:lang w:val="en-US"/>
              </w:rPr>
              <w:t>全球电动船舶市场规模快速增长</w:t>
            </w:r>
            <w:r>
              <w:rPr>
                <w:rFonts w:hint="eastAsia"/>
                <w:color w:val="auto"/>
                <w:sz w:val="24"/>
                <w:lang w:val="en-US"/>
              </w:rPr>
              <w:t>，标准化产品更易通过多国认证，推动国际贸易。</w:t>
            </w:r>
          </w:p>
          <w:p w14:paraId="5F6F1250">
            <w:pPr>
              <w:numPr>
                <w:ilvl w:val="0"/>
                <w:numId w:val="1"/>
              </w:numPr>
              <w:ind w:firstLine="480" w:firstLineChars="200"/>
              <w:rPr>
                <w:color w:val="auto"/>
                <w:sz w:val="24"/>
                <w:lang w:val="en-US"/>
              </w:rPr>
            </w:pPr>
            <w:r>
              <w:rPr>
                <w:color w:val="auto"/>
                <w:sz w:val="24"/>
                <w:lang w:val="en-US"/>
              </w:rPr>
              <w:t>“中远海运绿水01”轮采用36只20英尺集装箱式电源，其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充换电</w:t>
            </w:r>
            <w:r>
              <w:rPr>
                <w:color w:val="auto"/>
                <w:sz w:val="24"/>
                <w:lang w:val="en-US"/>
              </w:rPr>
              <w:t>变流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装置</w:t>
            </w:r>
            <w:r>
              <w:rPr>
                <w:color w:val="auto"/>
                <w:sz w:val="24"/>
                <w:lang w:val="en-US"/>
              </w:rPr>
              <w:t>通过模块化设计实现高效换电，验证了标准化方案的可行性</w:t>
            </w:r>
            <w:r>
              <w:rPr>
                <w:rFonts w:hint="eastAsia"/>
                <w:color w:val="auto"/>
                <w:sz w:val="24"/>
                <w:lang w:val="en-US"/>
              </w:rPr>
              <w:t>。</w:t>
            </w:r>
          </w:p>
        </w:tc>
      </w:tr>
      <w:tr w14:paraId="04476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1" w:hRule="atLeast"/>
          <w:jc w:val="center"/>
        </w:trPr>
        <w:tc>
          <w:tcPr>
            <w:tcW w:w="1980" w:type="dxa"/>
            <w:vAlign w:val="center"/>
          </w:tcPr>
          <w:p w14:paraId="36530267"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国内外情况</w:t>
            </w:r>
          </w:p>
          <w:p w14:paraId="3BB27577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简要说明</w:t>
            </w:r>
          </w:p>
        </w:tc>
        <w:tc>
          <w:tcPr>
            <w:tcW w:w="7255" w:type="dxa"/>
            <w:gridSpan w:val="4"/>
            <w:vAlign w:val="center"/>
          </w:tcPr>
          <w:p w14:paraId="1E831060">
            <w:pPr>
              <w:ind w:firstLine="480" w:firstLineChars="200"/>
              <w:rPr>
                <w:rFonts w:hint="eastAsia"/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国际海事组织（IMO）提出航运减排目标，但技术标准仍以传统燃料船舶为主，电动船舶配套标准制定相对滞后。国际电工委员会（IEC）已发布IEC 62619船用锂电池安全标准，但对充换电变流装置的接口协议、能效管理等尚未形成统一规范。IEC 62477电力电子变换器系统的安全要求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，仅规定变流装置的电气安全、绝缘耐压等要求，针对船用场景环境适应性等要求未作要求。</w:t>
            </w:r>
          </w:p>
          <w:p w14:paraId="1E2B6982">
            <w:pPr>
              <w:ind w:firstLine="480" w:firstLineChars="200"/>
              <w:rPr>
                <w:rFonts w:hint="eastAsia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国内当前暂未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明确对</w:t>
            </w:r>
            <w:r>
              <w:rPr>
                <w:color w:val="auto"/>
                <w:sz w:val="24"/>
                <w:lang w:val="en-US"/>
              </w:rPr>
              <w:t>船用电池充换电变流装置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进行规定，已有的相似标准，例如由电力储能标准化技术委员会提出的</w:t>
            </w:r>
            <w:r>
              <w:rPr>
                <w:rFonts w:hint="eastAsia"/>
                <w:color w:val="auto"/>
                <w:sz w:val="24"/>
                <w:lang w:val="en-US"/>
              </w:rPr>
              <w:t>GB/T 34120-2023电化学储能系统储能变流装置技术规范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，主要针对储能变流器的功能、性能等方面做出要求，其中仅有双向充放电条款可直接适配船舶场景</w:t>
            </w:r>
            <w:r>
              <w:rPr>
                <w:rFonts w:hint="eastAsia"/>
                <w:color w:val="auto"/>
                <w:sz w:val="24"/>
                <w:lang w:val="en-US"/>
              </w:rPr>
              <w:t>。GB/T 36282-2018电动汽车用直流/直流变换器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，覆盖的电压范围、效率等部分条款适用于船用充换电场景。</w:t>
            </w:r>
          </w:p>
          <w:p w14:paraId="6A903553">
            <w:pPr>
              <w:ind w:firstLine="480" w:firstLineChars="200"/>
              <w:rPr>
                <w:rFonts w:hint="eastAsia"/>
                <w:i/>
                <w:iCs/>
                <w:color w:val="auto"/>
                <w:sz w:val="24"/>
                <w:highlight w:val="yellow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目前对于</w:t>
            </w:r>
            <w:r>
              <w:rPr>
                <w:color w:val="auto"/>
                <w:sz w:val="24"/>
                <w:lang w:val="en-US"/>
              </w:rPr>
              <w:t>船用电池充换电变流装置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的技术要求，</w:t>
            </w:r>
            <w:r>
              <w:rPr>
                <w:rFonts w:hint="eastAsia"/>
                <w:color w:val="auto"/>
                <w:sz w:val="24"/>
                <w:lang w:val="en-US"/>
              </w:rPr>
              <w:t>亟需聚焦电池充换电接口、安全防护、环境适应性等关键环节制定专项标准，填补行业空白。</w:t>
            </w:r>
          </w:p>
        </w:tc>
      </w:tr>
      <w:tr w14:paraId="0D452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  <w:jc w:val="center"/>
        </w:trPr>
        <w:tc>
          <w:tcPr>
            <w:tcW w:w="1980" w:type="dxa"/>
            <w:vAlign w:val="center"/>
          </w:tcPr>
          <w:p w14:paraId="6609328A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标准适用范围</w:t>
            </w:r>
          </w:p>
          <w:p w14:paraId="1DD8FED6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和主要技术内容</w:t>
            </w:r>
          </w:p>
        </w:tc>
        <w:tc>
          <w:tcPr>
            <w:tcW w:w="7255" w:type="dxa"/>
            <w:gridSpan w:val="4"/>
            <w:vAlign w:val="center"/>
          </w:tcPr>
          <w:p w14:paraId="12ADCC09">
            <w:pPr>
              <w:rPr>
                <w:i w:val="0"/>
                <w:iCs/>
                <w:color w:val="auto"/>
                <w:sz w:val="24"/>
                <w:u w:val="none"/>
                <w:lang w:val="en-US"/>
              </w:rPr>
            </w:pPr>
            <w:r>
              <w:rPr>
                <w:rFonts w:hint="eastAsia"/>
                <w:i w:val="0"/>
                <w:iCs/>
                <w:color w:val="auto"/>
                <w:sz w:val="24"/>
                <w:u w:val="none"/>
                <w:lang w:val="en-US"/>
              </w:rPr>
              <w:t>本文件规定了船用电池充换电变流装置的要求、试验方法，提出了检验规则以及</w:t>
            </w:r>
            <w:r>
              <w:rPr>
                <w:rFonts w:hint="eastAsia"/>
                <w:i w:val="0"/>
                <w:iCs/>
                <w:color w:val="auto"/>
                <w:sz w:val="24"/>
                <w:u w:val="none"/>
              </w:rPr>
              <w:t>标志、包装、运输、贮存</w:t>
            </w:r>
            <w:r>
              <w:rPr>
                <w:rFonts w:hint="eastAsia"/>
                <w:i w:val="0"/>
                <w:iCs/>
                <w:color w:val="auto"/>
                <w:sz w:val="24"/>
                <w:u w:val="none"/>
                <w:lang w:val="en-US"/>
              </w:rPr>
              <w:t>要求。</w:t>
            </w:r>
          </w:p>
          <w:p w14:paraId="560D82CB">
            <w:pPr>
              <w:rPr>
                <w:i/>
                <w:color w:val="auto"/>
                <w:sz w:val="24"/>
                <w:u w:val="single"/>
              </w:rPr>
            </w:pPr>
            <w:r>
              <w:rPr>
                <w:rFonts w:hint="eastAsia"/>
                <w:i w:val="0"/>
                <w:iCs/>
                <w:color w:val="auto"/>
                <w:sz w:val="24"/>
                <w:u w:val="none"/>
                <w:lang w:val="en-US"/>
              </w:rPr>
              <w:t>本文件适用于船舶及海上平台等场景的电池充换电</w:t>
            </w:r>
            <w:r>
              <w:rPr>
                <w:rFonts w:hint="eastAsia"/>
                <w:i w:val="0"/>
                <w:iCs/>
                <w:color w:val="auto"/>
                <w:sz w:val="24"/>
                <w:u w:val="none"/>
              </w:rPr>
              <w:t>变流装置</w:t>
            </w:r>
            <w:r>
              <w:rPr>
                <w:rFonts w:hint="eastAsia"/>
                <w:i w:val="0"/>
                <w:iCs/>
                <w:color w:val="auto"/>
                <w:sz w:val="24"/>
                <w:u w:val="none"/>
                <w:lang w:val="en-US"/>
              </w:rPr>
              <w:t>。</w:t>
            </w:r>
          </w:p>
        </w:tc>
      </w:tr>
      <w:tr w14:paraId="46EB3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980" w:type="dxa"/>
            <w:vAlign w:val="center"/>
          </w:tcPr>
          <w:p w14:paraId="70591A2E">
            <w:pPr>
              <w:widowControl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工作进度安排</w:t>
            </w:r>
          </w:p>
        </w:tc>
        <w:tc>
          <w:tcPr>
            <w:tcW w:w="7255" w:type="dxa"/>
            <w:gridSpan w:val="4"/>
            <w:vAlign w:val="center"/>
          </w:tcPr>
          <w:p w14:paraId="1EFD6D5C">
            <w:pPr>
              <w:numPr>
                <w:ilvl w:val="0"/>
                <w:numId w:val="2"/>
              </w:numPr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草案提交2025-3-30</w:t>
            </w:r>
          </w:p>
          <w:p w14:paraId="58926406">
            <w:pPr>
              <w:numPr>
                <w:ilvl w:val="0"/>
                <w:numId w:val="2"/>
              </w:numPr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预期立项2025-4-30</w:t>
            </w:r>
          </w:p>
          <w:p w14:paraId="0BBF6BDA">
            <w:pPr>
              <w:numPr>
                <w:ilvl w:val="0"/>
                <w:numId w:val="2"/>
              </w:numPr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发布时间2026-3-30</w:t>
            </w:r>
          </w:p>
        </w:tc>
      </w:tr>
      <w:tr w14:paraId="23997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980" w:type="dxa"/>
            <w:vAlign w:val="center"/>
          </w:tcPr>
          <w:p w14:paraId="77800B0C">
            <w:pPr>
              <w:widowControl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标准预期实施</w:t>
            </w:r>
          </w:p>
          <w:p w14:paraId="25B2C7EF">
            <w:pPr>
              <w:widowControl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应用方案</w:t>
            </w:r>
          </w:p>
        </w:tc>
        <w:tc>
          <w:tcPr>
            <w:tcW w:w="7255" w:type="dxa"/>
            <w:gridSpan w:val="4"/>
            <w:vAlign w:val="center"/>
          </w:tcPr>
          <w:p w14:paraId="7F23206E">
            <w:pPr>
              <w:ind w:firstLine="480" w:firstLineChars="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主编单位和各起草单位将积极推进标准宣传和培训，配合学会开展标准宣贯培训工作，使有关技术人员熟悉标并掌握标准的各项技术要求，加强示范效应，让标准在行业内得到广泛推广和应用，使标准的应用落到实处。</w:t>
            </w:r>
          </w:p>
          <w:p w14:paraId="6B8FD964">
            <w:pPr>
              <w:ind w:firstLine="480" w:firstLineChars="200"/>
              <w:rPr>
                <w:i/>
                <w:iCs/>
                <w:color w:val="auto"/>
                <w:sz w:val="24"/>
                <w:highlight w:val="yellow"/>
              </w:rPr>
            </w:pPr>
            <w:r>
              <w:rPr>
                <w:rFonts w:hint="eastAsia"/>
                <w:color w:val="auto"/>
                <w:sz w:val="24"/>
              </w:rPr>
              <w:t>主编单位和各起草单位将对标准实施应用情况进行跟踪调查，及时发现标准执行过程中的问题，不断修改完善，提高标准水平，提高标准的科学性、合理性、协调性和可操作性。</w:t>
            </w:r>
          </w:p>
        </w:tc>
      </w:tr>
      <w:tr w14:paraId="11595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980" w:type="dxa"/>
            <w:vAlign w:val="center"/>
          </w:tcPr>
          <w:p w14:paraId="0EBA84C6">
            <w:pPr>
              <w:widowControl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经费保障</w:t>
            </w:r>
          </w:p>
        </w:tc>
        <w:tc>
          <w:tcPr>
            <w:tcW w:w="7255" w:type="dxa"/>
            <w:gridSpan w:val="4"/>
            <w:vAlign w:val="center"/>
          </w:tcPr>
          <w:p w14:paraId="43968054">
            <w:pPr>
              <w:rPr>
                <w:i/>
                <w:iCs/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</w:rPr>
              <w:t>编制团队为标准编制提供必要的经费保障。</w:t>
            </w:r>
          </w:p>
        </w:tc>
      </w:tr>
      <w:tr w14:paraId="0CB5E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80" w:type="dxa"/>
            <w:vAlign w:val="center"/>
          </w:tcPr>
          <w:p w14:paraId="4C852378">
            <w:pPr>
              <w:widowControl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技术基础及</w:t>
            </w:r>
          </w:p>
          <w:p w14:paraId="6E994CCD">
            <w:pPr>
              <w:widowControl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研究团队</w:t>
            </w:r>
          </w:p>
        </w:tc>
        <w:tc>
          <w:tcPr>
            <w:tcW w:w="7255" w:type="dxa"/>
            <w:gridSpan w:val="4"/>
            <w:vAlign w:val="center"/>
          </w:tcPr>
          <w:p w14:paraId="3D7C29AD">
            <w:pPr>
              <w:ind w:firstLine="480" w:firstLineChars="200"/>
              <w:rPr>
                <w:i/>
                <w:iCs/>
                <w:color w:val="auto"/>
                <w:sz w:val="24"/>
                <w:highlight w:val="yellow"/>
              </w:rPr>
            </w:pPr>
            <w:r>
              <w:rPr>
                <w:rFonts w:hint="eastAsia"/>
                <w:color w:val="auto"/>
                <w:sz w:val="24"/>
              </w:rPr>
              <w:t>工信部</w:t>
            </w:r>
            <w:r>
              <w:rPr>
                <w:color w:val="auto"/>
                <w:sz w:val="24"/>
              </w:rPr>
              <w:t>高技术船舶科研项目</w:t>
            </w:r>
            <w:r>
              <w:rPr>
                <w:rFonts w:hint="eastAsia"/>
                <w:color w:val="auto"/>
                <w:sz w:val="24"/>
              </w:rPr>
              <w:t>“2030型绿色智能沿海内河示范船”子工程（编号CBG4N21-4）中“2030型长江干线绿色智能船舶关键技术及示范船研制”任务的第</w:t>
            </w:r>
            <w:r>
              <w:rPr>
                <w:rFonts w:hint="eastAsia"/>
                <w:color w:val="auto"/>
                <w:sz w:val="24"/>
                <w:lang w:val="en-US"/>
              </w:rPr>
              <w:t>2</w:t>
            </w:r>
            <w:r>
              <w:rPr>
                <w:rFonts w:hint="eastAsia"/>
                <w:color w:val="auto"/>
                <w:sz w:val="24"/>
              </w:rPr>
              <w:t>个专题的第</w:t>
            </w:r>
            <w:r>
              <w:rPr>
                <w:rFonts w:hint="eastAsia"/>
                <w:color w:val="auto"/>
                <w:sz w:val="24"/>
                <w:lang w:val="en-US"/>
              </w:rPr>
              <w:t>1</w:t>
            </w:r>
            <w:r>
              <w:rPr>
                <w:rFonts w:hint="eastAsia"/>
                <w:color w:val="auto"/>
                <w:sz w:val="24"/>
              </w:rPr>
              <w:t>个子专题“</w:t>
            </w:r>
            <w:r>
              <w:rPr>
                <w:rFonts w:hint="eastAsia"/>
                <w:color w:val="auto"/>
                <w:sz w:val="24"/>
                <w:lang w:val="en-US"/>
              </w:rPr>
              <w:t>箱式电源储能系统研制”</w:t>
            </w:r>
            <w:r>
              <w:rPr>
                <w:color w:val="auto"/>
                <w:sz w:val="24"/>
              </w:rPr>
              <w:t>，</w:t>
            </w:r>
            <w:r>
              <w:rPr>
                <w:rFonts w:hint="eastAsia"/>
                <w:color w:val="auto"/>
                <w:sz w:val="24"/>
              </w:rPr>
              <w:t>将研制工程样机，该标准可在此样机实施。</w:t>
            </w:r>
            <w:r>
              <w:rPr>
                <w:rFonts w:hint="eastAsia"/>
                <w:color w:val="auto"/>
                <w:sz w:val="24"/>
                <w:lang w:val="en-US"/>
              </w:rPr>
              <w:t>编制组由澄瑞电力科技（上海）股份有限公司、武汉理工大学等单位专家组成。澄瑞电力科技在</w:t>
            </w:r>
            <w:r>
              <w:rPr>
                <w:color w:val="auto"/>
                <w:sz w:val="24"/>
                <w:lang w:val="en-US"/>
              </w:rPr>
              <w:t>船用电池充换电变流装置</w:t>
            </w:r>
            <w:r>
              <w:rPr>
                <w:rFonts w:hint="eastAsia"/>
                <w:color w:val="auto"/>
                <w:sz w:val="24"/>
                <w:lang w:val="en-US"/>
              </w:rPr>
              <w:t>的技术研发方面已经取得了一定成果，积累了丰富的技术经验，技术基础、技术储备与产业条件成熟，已形成较完整的技术链条，其自主研发的船用电池充换电变流装置在厦门拖轮、上海复兴拖轮等兆瓦级充电场景中得到了成功应用。在</w:t>
            </w:r>
            <w:r>
              <w:rPr>
                <w:color w:val="auto"/>
                <w:sz w:val="24"/>
                <w:lang w:val="en-US"/>
              </w:rPr>
              <w:t>电池充换电变流装置</w:t>
            </w:r>
            <w:r>
              <w:rPr>
                <w:rFonts w:hint="eastAsia"/>
                <w:color w:val="auto"/>
                <w:sz w:val="24"/>
                <w:lang w:val="en-US"/>
              </w:rPr>
              <w:t>船用化过程中积累了基本经验。为制定</w:t>
            </w:r>
            <w:r>
              <w:rPr>
                <w:color w:val="auto"/>
                <w:sz w:val="24"/>
                <w:lang w:val="en-US"/>
              </w:rPr>
              <w:t>船用电池充换电变流装置</w:t>
            </w:r>
            <w:r>
              <w:rPr>
                <w:rFonts w:hint="eastAsia"/>
                <w:color w:val="auto"/>
                <w:sz w:val="24"/>
                <w:lang w:val="en-US"/>
              </w:rPr>
              <w:t>技术要求标准提供了坚实的技术与实践支撑。</w:t>
            </w:r>
          </w:p>
        </w:tc>
      </w:tr>
      <w:tr w14:paraId="0DB75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980" w:type="dxa"/>
            <w:vAlign w:val="center"/>
          </w:tcPr>
          <w:p w14:paraId="349D5157"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申请立项单位</w:t>
            </w:r>
          </w:p>
          <w:p w14:paraId="75C095E6"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意见</w:t>
            </w:r>
          </w:p>
        </w:tc>
        <w:tc>
          <w:tcPr>
            <w:tcW w:w="7255" w:type="dxa"/>
            <w:gridSpan w:val="4"/>
            <w:vAlign w:val="bottom"/>
          </w:tcPr>
          <w:p w14:paraId="3753227B">
            <w:pPr>
              <w:wordWrap w:val="0"/>
              <w:jc w:val="righ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（盖章）                                          </w:t>
            </w:r>
          </w:p>
          <w:p w14:paraId="0F3261FE">
            <w:pPr>
              <w:jc w:val="right"/>
              <w:rPr>
                <w:rFonts w:hint="eastAsia" w:ascii="黑体" w:hAnsi="宋体" w:eastAsia="黑体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年   月   日</w:t>
            </w:r>
          </w:p>
        </w:tc>
      </w:tr>
    </w:tbl>
    <w:p w14:paraId="38F0C6D0">
      <w:pPr>
        <w:jc w:val="left"/>
        <w:rPr>
          <w:rFonts w:ascii="仿宋_GB2312" w:eastAsia="仿宋_GB2312"/>
          <w:sz w:val="24"/>
        </w:rPr>
      </w:pPr>
      <w:r>
        <w:rPr>
          <w:rFonts w:hint="eastAsia" w:hAnsiTheme="minorEastAsia"/>
        </w:rPr>
        <w:t>注：如本表空间不够，可另附页。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1DA2C7"/>
    <w:multiLevelType w:val="multilevel"/>
    <w:tmpl w:val="F91DA2C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26715B5F"/>
    <w:multiLevelType w:val="singleLevel"/>
    <w:tmpl w:val="26715B5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mNDAyMzM2YjRhMDBlNmUyMTNlYjdmOTVhYTVhOWYifQ=="/>
  </w:docVars>
  <w:rsids>
    <w:rsidRoot w:val="00EB3B78"/>
    <w:rsid w:val="00185763"/>
    <w:rsid w:val="00272809"/>
    <w:rsid w:val="003F0615"/>
    <w:rsid w:val="00426DD8"/>
    <w:rsid w:val="004B36FF"/>
    <w:rsid w:val="00505991"/>
    <w:rsid w:val="005E7D40"/>
    <w:rsid w:val="006771A0"/>
    <w:rsid w:val="007A5417"/>
    <w:rsid w:val="00837D5D"/>
    <w:rsid w:val="00915110"/>
    <w:rsid w:val="00B179E9"/>
    <w:rsid w:val="00B439F8"/>
    <w:rsid w:val="00B55869"/>
    <w:rsid w:val="00BF659F"/>
    <w:rsid w:val="00C3423D"/>
    <w:rsid w:val="00EB3B78"/>
    <w:rsid w:val="00EC1447"/>
    <w:rsid w:val="00FC22B1"/>
    <w:rsid w:val="00FE24BC"/>
    <w:rsid w:val="01D6556A"/>
    <w:rsid w:val="0898523A"/>
    <w:rsid w:val="0C516E9E"/>
    <w:rsid w:val="0DD375AA"/>
    <w:rsid w:val="0DFA299E"/>
    <w:rsid w:val="148F0AD0"/>
    <w:rsid w:val="14C11056"/>
    <w:rsid w:val="166F7788"/>
    <w:rsid w:val="25D94FA6"/>
    <w:rsid w:val="2BA31CE7"/>
    <w:rsid w:val="44C003B6"/>
    <w:rsid w:val="45497331"/>
    <w:rsid w:val="59C245E4"/>
    <w:rsid w:val="5CA17880"/>
    <w:rsid w:val="627869CA"/>
    <w:rsid w:val="65137A71"/>
    <w:rsid w:val="68E849BD"/>
    <w:rsid w:val="6AD82A08"/>
    <w:rsid w:val="72ED47BB"/>
    <w:rsid w:val="774B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EastAsia" w:hAnsiTheme="minorHAnsi" w:eastAsiaTheme="minorEastAsia"/>
      <w:snapToGrid w:val="0"/>
      <w:sz w:val="21"/>
      <w:szCs w:val="21"/>
      <w:lang w:val="en-GB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sz w:val="24"/>
      <w:lang w:val="en-US"/>
    </w:rPr>
  </w:style>
  <w:style w:type="character" w:styleId="7">
    <w:name w:val="Strong"/>
    <w:basedOn w:val="6"/>
    <w:qFormat/>
    <w:uiPriority w:val="22"/>
    <w:rPr>
      <w:b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3"/>
    <w:qFormat/>
    <w:uiPriority w:val="99"/>
    <w:rPr>
      <w:rFonts w:cs="Times New Roman" w:asciiTheme="minorEastAsia"/>
      <w:snapToGrid w:val="0"/>
      <w:sz w:val="18"/>
      <w:szCs w:val="18"/>
      <w:lang w:val="en-GB"/>
    </w:rPr>
  </w:style>
  <w:style w:type="character" w:customStyle="1" w:styleId="10">
    <w:name w:val="页脚 字符"/>
    <w:basedOn w:val="6"/>
    <w:link w:val="2"/>
    <w:qFormat/>
    <w:uiPriority w:val="99"/>
    <w:rPr>
      <w:rFonts w:cs="Times New Roman" w:asciiTheme="minorEastAsia"/>
      <w:snapToGrid w:val="0"/>
      <w:sz w:val="18"/>
      <w:szCs w:val="18"/>
      <w:lang w:val="en-GB"/>
    </w:rPr>
  </w:style>
  <w:style w:type="paragraph" w:customStyle="1" w:styleId="11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">
    <w:name w:val="Revision"/>
    <w:hidden/>
    <w:unhideWhenUsed/>
    <w:qFormat/>
    <w:uiPriority w:val="99"/>
    <w:rPr>
      <w:rFonts w:cs="Times New Roman" w:asciiTheme="minorEastAsia" w:hAnsiTheme="minorHAnsi" w:eastAsiaTheme="minorEastAsia"/>
      <w:snapToGrid w:val="0"/>
      <w:sz w:val="21"/>
      <w:szCs w:val="21"/>
      <w:lang w:val="en-GB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2138</Words>
  <Characters>2353</Characters>
  <Lines>19</Lines>
  <Paragraphs>5</Paragraphs>
  <TotalTime>10</TotalTime>
  <ScaleCrop>false</ScaleCrop>
  <LinksUpToDate>false</LinksUpToDate>
  <CharactersWithSpaces>2435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2022-08-15T06:27:00Z</dcterms:created>
  <dc:creator>user</dc:creator>
  <cp:lastModifiedBy>WPS_1692169358</cp:lastModifiedBy>
  <dcterms:modified xsi:type="dcterms:W3CDTF">2025-03-27T11:26:56Z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E0D3D9764AA84C618E93B88DB7CFCFD4_13</vt:lpwstr>
  </property>
  <property fmtid="{D5CDD505-2E9C-101B-9397-08002B2CF9AE}" pid="4" name="KSOTemplateDocerSaveRecord">
    <vt:lpwstr>eyJoZGlkIjoiMjBjY2M0NmViNDEwYzkzMWZkODBkMzI1YzFiY2U0MzEiLCJ1c2VySWQiOiIxNTIxNjk2MjAyIn0=</vt:lpwstr>
  </property>
</Properties>
</file>